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240" w:before="360" w:line="240" w:lineRule="auto"/>
        <w:ind w:left="0" w:right="0" w:firstLine="0"/>
        <w:jc w:val="center"/>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Paper Title (use style: </w:t>
      </w:r>
      <w:r w:rsidDel="00000000" w:rsidR="00000000" w:rsidRPr="00000000">
        <w:rPr>
          <w:rFonts w:ascii="Times New Roman" w:cs="Times New Roman" w:eastAsia="Times New Roman" w:hAnsi="Times New Roman"/>
          <w:b w:val="0"/>
          <w:i w:val="1"/>
          <w:smallCaps w:val="0"/>
          <w:strike w:val="0"/>
          <w:color w:val="000000"/>
          <w:sz w:val="48"/>
          <w:szCs w:val="48"/>
          <w:u w:val="none"/>
          <w:shd w:fill="auto" w:val="clear"/>
          <w:vertAlign w:val="baseline"/>
          <w:rtl w:val="0"/>
        </w:rPr>
        <w:t xml:space="preserve">paper title</w:t>
      </w: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7" w:type="first"/>
          <w:pgSz w:h="16834" w:w="11909"/>
          <w:pgMar w:bottom="2438" w:top="1077" w:left="1134" w:right="1134" w:header="964" w:footer="1247"/>
          <w:pgNumType w:start="1"/>
          <w:cols w:equalWidth="0"/>
          <w:titlePg w:val="1"/>
        </w:sect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First Author's Name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Second Author's Name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Third Author's Name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(Author)</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Affiliation, Postal address, e-mail, Web address (URL) (Affiliation)</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2,3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Affiliation, Postal address, e-mail, Web address (URL)</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rPr>
          <w:vertAlign w:val="baseline"/>
        </w:rPr>
        <w:sectPr>
          <w:type w:val="continuous"/>
          <w:pgSz w:h="16834" w:w="11909"/>
          <w:pgMar w:bottom="2438" w:top="1077" w:left="1134" w:right="1134" w:header="964" w:footer="1247"/>
          <w:cols w:equalWidth="0"/>
          <w:titlePg w:val="1"/>
        </w:sect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Abstract</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—This electronic document is a “live” template. The various components of your paper [title, text, heads, etc.] are already defined on the style sheet, as illustrated by the portions given in this document. (Abstract)</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CRITICAL: Do Not Use Symbols, Special Characters, or Math in Paper Title or Abstract.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Please, note that required layout of the papers is the same as for extended abstracts, so you may continue using your extended abstract document template.</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289"/>
        <w:jc w:val="both"/>
        <w:rPr>
          <w:rFonts w:ascii="Times New Roman" w:cs="Times New Roman" w:eastAsia="Times New Roman" w:hAnsi="Times New Roman"/>
          <w:b w:val="1"/>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Keywords—component; formatting; style; styling (key words)</w:t>
      </w:r>
    </w:p>
    <w:p w:rsidR="00000000" w:rsidDel="00000000" w:rsidP="00000000" w:rsidRDefault="00000000" w:rsidRPr="00000000" w14:paraId="0000000D">
      <w:pPr>
        <w:pStyle w:val="Heading1"/>
        <w:numPr>
          <w:ilvl w:val="0"/>
          <w:numId w:val="1"/>
        </w:numPr>
        <w:tabs>
          <w:tab w:val="left" w:pos="216"/>
        </w:tabs>
        <w:ind w:left="0" w:firstLine="216"/>
        <w:rPr/>
      </w:pPr>
      <w:r w:rsidDel="00000000" w:rsidR="00000000" w:rsidRPr="00000000">
        <w:rPr>
          <w:smallCaps w:val="1"/>
          <w:vertAlign w:val="baseline"/>
          <w:rtl w:val="0"/>
        </w:rPr>
        <w:t xml:space="preserve">Introduction (Heading 1)</w:t>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This template, modified in MS Word 2007 and saved as “Word 97-2003” for the PC, provides authors with most of the formatting specifications needed for preparing electronic versions of their papers. All standard paper components have been specified for three reasons: (1) ease of use when formatting individual paper,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(Body Text)</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8"/>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authors should submit a camera-ready paper of   </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4-6 pages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 English only) using SIST link to Microsoft CMT (https://cmt3.research.microsoft.com/SIST2020/Submission/Index). It should define the </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scope of the work</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emphasize on new advances, theories and/or applications and include an analysis of results and findings. The paper must be structured such that the program committee will be able to understand the originality and the value of the work. Identify applicable sponsor/s here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If no sponsors, delete this footnote.</w:t>
      </w:r>
    </w:p>
    <w:p w:rsidR="00000000" w:rsidDel="00000000" w:rsidP="00000000" w:rsidRDefault="00000000" w:rsidRPr="00000000" w14:paraId="00000010">
      <w:pPr>
        <w:pStyle w:val="Heading1"/>
        <w:numPr>
          <w:ilvl w:val="0"/>
          <w:numId w:val="1"/>
        </w:numPr>
        <w:tabs>
          <w:tab w:val="left" w:pos="216"/>
        </w:tabs>
        <w:ind w:left="0" w:firstLine="216"/>
        <w:rPr/>
      </w:pPr>
      <w:r w:rsidDel="00000000" w:rsidR="00000000" w:rsidRPr="00000000">
        <w:rPr>
          <w:smallCaps w:val="1"/>
          <w:vertAlign w:val="baseline"/>
          <w:rtl w:val="0"/>
        </w:rPr>
        <w:t xml:space="preserve">Ease of Use</w:t>
      </w:r>
      <w:r w:rsidDel="00000000" w:rsidR="00000000" w:rsidRPr="00000000">
        <w:rPr>
          <w:rtl w:val="0"/>
        </w:rPr>
      </w:r>
    </w:p>
    <w:p w:rsidR="00000000" w:rsidDel="00000000" w:rsidP="00000000" w:rsidRDefault="00000000" w:rsidRPr="00000000" w14:paraId="00000011">
      <w:pPr>
        <w:pStyle w:val="Heading2"/>
        <w:numPr>
          <w:ilvl w:val="1"/>
          <w:numId w:val="2"/>
        </w:numPr>
        <w:ind w:left="288" w:hanging="288"/>
        <w:rPr/>
      </w:pPr>
      <w:r w:rsidDel="00000000" w:rsidR="00000000" w:rsidRPr="00000000">
        <w:rPr>
          <w:i w:val="1"/>
          <w:vertAlign w:val="baseline"/>
          <w:rtl w:val="0"/>
        </w:rPr>
        <w:t xml:space="preserve">Selecting a Template (Heading 2)</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First, confirm that you have the correct template for your paper size. This template has been tailored for output on the A4 (210 x 297 mm) paper size. </w:t>
      </w:r>
    </w:p>
    <w:p w:rsidR="00000000" w:rsidDel="00000000" w:rsidP="00000000" w:rsidRDefault="00000000" w:rsidRPr="00000000" w14:paraId="00000013">
      <w:pPr>
        <w:pStyle w:val="Heading2"/>
        <w:numPr>
          <w:ilvl w:val="1"/>
          <w:numId w:val="2"/>
        </w:numPr>
        <w:ind w:left="288" w:hanging="288"/>
        <w:rPr/>
      </w:pPr>
      <w:r w:rsidDel="00000000" w:rsidR="00000000" w:rsidRPr="00000000">
        <w:rPr>
          <w:i w:val="1"/>
          <w:vertAlign w:val="baseline"/>
          <w:rtl w:val="0"/>
        </w:rPr>
        <w:t xml:space="preserve">Maintaining the Integrity of the Specifications</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rsidR="00000000" w:rsidDel="00000000" w:rsidP="00000000" w:rsidRDefault="00000000" w:rsidRPr="00000000" w14:paraId="00000015">
      <w:pPr>
        <w:pStyle w:val="Heading1"/>
        <w:numPr>
          <w:ilvl w:val="0"/>
          <w:numId w:val="1"/>
        </w:numPr>
        <w:tabs>
          <w:tab w:val="left" w:pos="216"/>
        </w:tabs>
        <w:ind w:left="0" w:firstLine="216"/>
        <w:rPr/>
      </w:pPr>
      <w:r w:rsidDel="00000000" w:rsidR="00000000" w:rsidRPr="00000000">
        <w:rPr>
          <w:smallCaps w:val="1"/>
          <w:vertAlign w:val="baseline"/>
          <w:rtl w:val="0"/>
        </w:rPr>
        <w:t xml:space="preserve">Prepare Your Paper Before Styling</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Before you begin to format your paper, first write and save the content as a separate text file. 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Finally, complete content and organizational editing before formatting. Please take note of the following items when proofreading spelling and grammar:</w:t>
      </w:r>
    </w:p>
    <w:p w:rsidR="00000000" w:rsidDel="00000000" w:rsidP="00000000" w:rsidRDefault="00000000" w:rsidRPr="00000000" w14:paraId="00000018">
      <w:pPr>
        <w:pStyle w:val="Heading2"/>
        <w:numPr>
          <w:ilvl w:val="1"/>
          <w:numId w:val="2"/>
        </w:numPr>
        <w:ind w:left="288" w:hanging="288"/>
        <w:rPr/>
      </w:pPr>
      <w:r w:rsidDel="00000000" w:rsidR="00000000" w:rsidRPr="00000000">
        <w:rPr>
          <w:i w:val="1"/>
          <w:vertAlign w:val="baseline"/>
          <w:rtl w:val="0"/>
        </w:rPr>
        <w:t xml:space="preserve">Paper Title </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the paper title, capitalize the first letter of the first and last word and all the nouns, pronouns, adjectives, verbs, adverbs, and subordinating conjunctions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If, Because, That, Which</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Capitalize abbreviations that are otherwise lowercase (e.g., use DC, not dc or Dc) except for unit abbreviations and acronyms.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Articles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an, the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coordinating conjunctions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and, but, for, or, nor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and most short prepositions are lowercase unless they are the first or last word. Prepositions of more than three letters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Before, Through, With, Without, Versus, Among, Under, Between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should be capitalized.</w:t>
      </w:r>
    </w:p>
    <w:p w:rsidR="00000000" w:rsidDel="00000000" w:rsidP="00000000" w:rsidRDefault="00000000" w:rsidRPr="00000000" w14:paraId="0000001B">
      <w:pPr>
        <w:pStyle w:val="Heading2"/>
        <w:numPr>
          <w:ilvl w:val="1"/>
          <w:numId w:val="2"/>
        </w:numPr>
        <w:ind w:left="288" w:hanging="288"/>
        <w:rPr/>
      </w:pPr>
      <w:r w:rsidDel="00000000" w:rsidR="00000000" w:rsidRPr="00000000">
        <w:rPr>
          <w:i w:val="1"/>
          <w:vertAlign w:val="baseline"/>
          <w:rtl w:val="0"/>
        </w:rPr>
        <w:t xml:space="preserve">Abbreviations and Acronyms</w:t>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Define abbreviations and acronyms the first time they are used in the text, even after they have been defined in the abstract. Abbreviations such as IEEE, SI, MKS, CGS, sc, dc, and rms do not have to be defined. Do not use abbreviations in the title or heads unless they are unavoidable.</w:t>
      </w:r>
    </w:p>
    <w:p w:rsidR="00000000" w:rsidDel="00000000" w:rsidP="00000000" w:rsidRDefault="00000000" w:rsidRPr="00000000" w14:paraId="0000001D">
      <w:pPr>
        <w:pStyle w:val="Heading2"/>
        <w:numPr>
          <w:ilvl w:val="1"/>
          <w:numId w:val="2"/>
        </w:numPr>
        <w:ind w:left="288" w:hanging="288"/>
        <w:rPr/>
      </w:pPr>
      <w:r w:rsidDel="00000000" w:rsidR="00000000" w:rsidRPr="00000000">
        <w:rPr>
          <w:i w:val="1"/>
          <w:vertAlign w:val="baseline"/>
          <w:rtl w:val="0"/>
        </w:rPr>
        <w:t xml:space="preserve">Units</w:t>
      </w:r>
      <w:r w:rsidDel="00000000" w:rsidR="00000000" w:rsidRPr="00000000">
        <w:rPr>
          <w:rtl w:val="0"/>
        </w:rPr>
      </w:r>
    </w:p>
    <w:p w:rsidR="00000000" w:rsidDel="00000000" w:rsidP="00000000" w:rsidRDefault="00000000" w:rsidRPr="00000000" w14:paraId="0000001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Use either SI (MKS) or CGS as primary units. (SI units are encouraged.) English units may be used as secondary units (in parentheses). An exception would be the use of English units as identifiers in trade, such as “3.5-inch disk drive”.</w:t>
      </w:r>
    </w:p>
    <w:p w:rsidR="00000000" w:rsidDel="00000000" w:rsidP="00000000" w:rsidRDefault="00000000" w:rsidRPr="00000000" w14:paraId="0000001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Avoid combining SI and CGS units, such as current in amperes and magnetic field in oersteds. This often leads to confusion because equations do not balance dimensionally. If you must use mixed units, clearly state the units for each quantity that you use in an equation.</w:t>
      </w:r>
    </w:p>
    <w:p w:rsidR="00000000" w:rsidDel="00000000" w:rsidP="00000000" w:rsidRDefault="00000000" w:rsidRPr="00000000" w14:paraId="0000002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Do not mix complete spellings and abbreviations of units: “Wb/m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or “webers per square meter”, not “webers/m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Spell out units when they appear in text: “... a few henries”, not “... a few H”.</w:t>
      </w:r>
    </w:p>
    <w:p w:rsidR="00000000" w:rsidDel="00000000" w:rsidP="00000000" w:rsidRDefault="00000000" w:rsidRPr="00000000" w14:paraId="0000002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Use a zero before decimal points: “0.25”, not “.25”. Use “cm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not “cc”. (bullet list)</w:t>
      </w:r>
    </w:p>
    <w:p w:rsidR="00000000" w:rsidDel="00000000" w:rsidP="00000000" w:rsidRDefault="00000000" w:rsidRPr="00000000" w14:paraId="00000022">
      <w:pPr>
        <w:pStyle w:val="Heading2"/>
        <w:numPr>
          <w:ilvl w:val="1"/>
          <w:numId w:val="2"/>
        </w:numPr>
        <w:ind w:left="288" w:hanging="288"/>
        <w:rPr/>
      </w:pPr>
      <w:r w:rsidDel="00000000" w:rsidR="00000000" w:rsidRPr="00000000">
        <w:rPr>
          <w:i w:val="1"/>
          <w:vertAlign w:val="baseline"/>
          <w:rtl w:val="0"/>
        </w:rPr>
        <w:t xml:space="preserve">Equations</w:t>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Number equations consecutively with equation numbers in parentheses flush with the right margin, as in (1). To make your equations more compact, you may use the solidus ( / ), the exp function, or appropriate exponents. Italicize Roman symbols for quantities and variables, but not Greek symbols. Use an en dash (–) rather than a hyphen for a minus sign. Use parentheses to avoid ambiguities in denominators.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tabs>
          <w:tab w:val="right" w:pos="4961"/>
          <w:tab w:val="left" w:pos="4320"/>
        </w:tabs>
        <w:spacing w:after="240" w:before="240" w:line="240" w:lineRule="auto"/>
        <w:ind w:left="0" w:right="0" w:firstLine="567"/>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1616710" cy="455295"/>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616710" cy="45529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(1)</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Please set in Microsoft Equation following fonts: Regular –</w:t>
      </w:r>
      <w:bookmarkStart w:colFirst="0" w:colLast="0" w:name="gjdgxs" w:id="0"/>
      <w:bookmarkEnd w:id="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12 pt, Large index – 7 pt, Small index – 5 pt, Large symbol – 18 pt, Small Symbol – 12 pt.</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Note that the equation is centered using a center tab stop. Be sure that the symbols in your equation have been defined before or immediately following the equation. Use “(1)”, not “Eq. (1)” or “equation (1)”, except at the beginning of a sentence: “Equation (1) is ...”</w:t>
      </w:r>
    </w:p>
    <w:p w:rsidR="00000000" w:rsidDel="00000000" w:rsidP="00000000" w:rsidRDefault="00000000" w:rsidRPr="00000000" w14:paraId="00000027">
      <w:pPr>
        <w:pStyle w:val="Heading2"/>
        <w:numPr>
          <w:ilvl w:val="1"/>
          <w:numId w:val="2"/>
        </w:numPr>
        <w:ind w:left="288" w:hanging="288"/>
        <w:rPr/>
      </w:pPr>
      <w:r w:rsidDel="00000000" w:rsidR="00000000" w:rsidRPr="00000000">
        <w:rPr>
          <w:i w:val="1"/>
          <w:vertAlign w:val="baseline"/>
          <w:rtl w:val="0"/>
        </w:rPr>
        <w:t xml:space="preserve">Some Common Mistakes</w:t>
      </w:r>
      <w:r w:rsidDel="00000000" w:rsidR="00000000" w:rsidRPr="00000000">
        <w:rPr>
          <w:rtl w:val="0"/>
        </w:rPr>
      </w:r>
    </w:p>
    <w:p w:rsidR="00000000" w:rsidDel="00000000" w:rsidP="00000000" w:rsidRDefault="00000000" w:rsidRPr="00000000" w14:paraId="0000002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word “data” is plural, not singular.</w:t>
      </w:r>
    </w:p>
    <w:p w:rsidR="00000000" w:rsidDel="00000000" w:rsidP="00000000" w:rsidRDefault="00000000" w:rsidRPr="00000000" w14:paraId="0000002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subscript for the permeability of vacuum </w:t>
      </w:r>
      <w:r w:rsidDel="00000000" w:rsidR="00000000" w:rsidRPr="00000000">
        <w:rPr>
          <w:rFonts w:ascii="Noto Sans Symbols" w:cs="Noto Sans Symbols" w:eastAsia="Noto Sans Symbols" w:hAnsi="Noto Sans Symbols"/>
          <w:b w:val="0"/>
          <w:i w:val="1"/>
          <w:smallCaps w:val="0"/>
          <w:strike w:val="0"/>
          <w:color w:val="000000"/>
          <w:sz w:val="20"/>
          <w:szCs w:val="20"/>
          <w:u w:val="none"/>
          <w:shd w:fill="auto" w:val="clear"/>
          <w:vertAlign w:val="baseline"/>
          <w:rtl w:val="0"/>
        </w:rPr>
        <w:t xml:space="preserve">μ</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and other common scientific constants, is zero with subscript formatting, not a lowercase letter “o”.</w:t>
      </w:r>
    </w:p>
    <w:p w:rsidR="00000000" w:rsidDel="00000000" w:rsidP="00000000" w:rsidRDefault="00000000" w:rsidRPr="00000000" w14:paraId="0000002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American English, commas, semi-/colons,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rsidR="00000000" w:rsidDel="00000000" w:rsidP="00000000" w:rsidRDefault="00000000" w:rsidRPr="00000000" w14:paraId="0000002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graph within a graph is an “inset”, not an “insert”. The word alternatively is preferred to the word “alternately” (unless you really mean something that alternates).</w:t>
      </w:r>
    </w:p>
    <w:p w:rsidR="00000000" w:rsidDel="00000000" w:rsidP="00000000" w:rsidRDefault="00000000" w:rsidRPr="00000000" w14:paraId="0000002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Do not use the word “essentially” to mean “approximately” or “effectively”.</w:t>
      </w:r>
    </w:p>
    <w:p w:rsidR="00000000" w:rsidDel="00000000" w:rsidP="00000000" w:rsidRDefault="00000000" w:rsidRPr="00000000" w14:paraId="0000002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your paper title, if the words “that uses” can accurately replace the word “using”, capitalize the “u”; if not, keep using lower-cased.</w:t>
      </w:r>
    </w:p>
    <w:p w:rsidR="00000000" w:rsidDel="00000000" w:rsidP="00000000" w:rsidRDefault="00000000" w:rsidRPr="00000000" w14:paraId="0000002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Be aware of the different meanings of the homophones “affect” and “effect”, “complement” and “compliment”, “discreet” and “discrete”, “principal” and “principle”.</w:t>
      </w:r>
    </w:p>
    <w:p w:rsidR="00000000" w:rsidDel="00000000" w:rsidP="00000000" w:rsidRDefault="00000000" w:rsidRPr="00000000" w14:paraId="0000002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Do not confuse “imply” and “infer”.</w:t>
      </w:r>
    </w:p>
    <w:p w:rsidR="00000000" w:rsidDel="00000000" w:rsidP="00000000" w:rsidRDefault="00000000" w:rsidRPr="00000000" w14:paraId="0000003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prefix “non” is not a word; it should be joined to the word it modifies, usually without a hyphen.</w:t>
      </w:r>
    </w:p>
    <w:p w:rsidR="00000000" w:rsidDel="00000000" w:rsidP="00000000" w:rsidRDefault="00000000" w:rsidRPr="00000000" w14:paraId="0000003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There is no period after the “et” in the Latin abbreviation “et al.”.</w:t>
      </w:r>
    </w:p>
    <w:p w:rsidR="00000000" w:rsidDel="00000000" w:rsidP="00000000" w:rsidRDefault="00000000" w:rsidRPr="00000000" w14:paraId="0000003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48" w:right="0" w:hanging="360"/>
        <w:jc w:val="both"/>
        <w:rPr>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abbreviation “i.e.” means “that is”, and the abbreviation “e.g.” means “for example”.</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 excellent style manual for science writers is [7].</w:t>
      </w:r>
    </w:p>
    <w:p w:rsidR="00000000" w:rsidDel="00000000" w:rsidP="00000000" w:rsidRDefault="00000000" w:rsidRPr="00000000" w14:paraId="00000034">
      <w:pPr>
        <w:pStyle w:val="Heading1"/>
        <w:numPr>
          <w:ilvl w:val="0"/>
          <w:numId w:val="1"/>
        </w:numPr>
        <w:tabs>
          <w:tab w:val="left" w:pos="216"/>
        </w:tabs>
        <w:ind w:left="0" w:firstLine="216"/>
        <w:rPr/>
      </w:pPr>
      <w:r w:rsidDel="00000000" w:rsidR="00000000" w:rsidRPr="00000000">
        <w:rPr>
          <w:smallCaps w:val="1"/>
          <w:vertAlign w:val="baseline"/>
          <w:rtl w:val="0"/>
        </w:rPr>
        <w:t xml:space="preserve">Using the Template</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Type the text of the paper in two columns. Balance the length of the columns, especially on the last page of the paper. Left- and right-justify your columns. Use tables and figures to adjust column length. On the last page of your paper, adjust the lengths of the columns so that they are equal. Use automatic hyphenation and check spelling. Digitize or paste down figures.</w:t>
      </w:r>
    </w:p>
    <w:p w:rsidR="00000000" w:rsidDel="00000000" w:rsidP="00000000" w:rsidRDefault="00000000" w:rsidRPr="00000000" w14:paraId="00000037">
      <w:pPr>
        <w:pStyle w:val="Heading2"/>
        <w:numPr>
          <w:ilvl w:val="1"/>
          <w:numId w:val="2"/>
        </w:numPr>
        <w:ind w:left="288" w:hanging="288"/>
        <w:rPr/>
      </w:pPr>
      <w:r w:rsidDel="00000000" w:rsidR="00000000" w:rsidRPr="00000000">
        <w:rPr>
          <w:i w:val="1"/>
          <w:vertAlign w:val="baseline"/>
          <w:rtl w:val="0"/>
        </w:rPr>
        <w:t xml:space="preserve">Authors and Affiliations</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template is designed so that author affiliations are not repeated each time for multiple authors of the same affiliation. Please keep your affiliations as succinct as possible (for example, do not differentiate among departments of the same organization).</w:t>
      </w:r>
    </w:p>
    <w:p w:rsidR="00000000" w:rsidDel="00000000" w:rsidP="00000000" w:rsidRDefault="00000000" w:rsidRPr="00000000" w14:paraId="00000039">
      <w:pPr>
        <w:pStyle w:val="Heading2"/>
        <w:numPr>
          <w:ilvl w:val="1"/>
          <w:numId w:val="2"/>
        </w:numPr>
        <w:ind w:left="288" w:hanging="288"/>
        <w:rPr/>
      </w:pPr>
      <w:r w:rsidDel="00000000" w:rsidR="00000000" w:rsidRPr="00000000">
        <w:rPr>
          <w:i w:val="1"/>
          <w:vertAlign w:val="baseline"/>
          <w:rtl w:val="0"/>
        </w:rPr>
        <w:t xml:space="preserve">Identify the Headings</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Headings, or heads, are organizational devices that guide the reader through your paper. There are two types: component heads and text heads.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rsidR="00000000" w:rsidDel="00000000" w:rsidP="00000000" w:rsidRDefault="00000000" w:rsidRPr="00000000" w14:paraId="0000003D">
      <w:pPr>
        <w:pStyle w:val="Heading2"/>
        <w:numPr>
          <w:ilvl w:val="1"/>
          <w:numId w:val="2"/>
        </w:numPr>
        <w:ind w:left="288" w:hanging="288"/>
        <w:rPr/>
      </w:pPr>
      <w:r w:rsidDel="00000000" w:rsidR="00000000" w:rsidRPr="00000000">
        <w:rPr>
          <w:i w:val="1"/>
          <w:vertAlign w:val="baseline"/>
          <w:rtl w:val="0"/>
        </w:rPr>
        <w:t xml:space="preserve">Positioning Figures and Tables</w:t>
      </w: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Place figures and tables after they are first cited in the text. Large figures and tables may span across both columns. Figure captions should be centered below the figures; table heads should appear above the tables. Use the abbreviation “Fig. 1”, even at the beginning of a sentence.</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4730.0" w:type="dxa"/>
        <w:jc w:val="center"/>
        <w:tblLayout w:type="fixed"/>
        <w:tblLook w:val="0000"/>
      </w:tblPr>
      <w:tblGrid>
        <w:gridCol w:w="4730"/>
        <w:tblGridChange w:id="0">
          <w:tblGrid>
            <w:gridCol w:w="4730"/>
          </w:tblGrid>
        </w:tblGridChange>
      </w:tblGrid>
      <w:tr>
        <w:trPr>
          <w:trHeight w:val="1778" w:hRule="atLeast"/>
        </w:trPr>
        <w:tc>
          <w:tcPr>
            <w:vAlign w:val="top"/>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2614295" cy="1245235"/>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614295" cy="1245235"/>
                          </a:xfrm>
                          <a:prstGeom prst="rect"/>
                          <a:ln/>
                        </pic:spPr>
                      </pic:pic>
                    </a:graphicData>
                  </a:graphic>
                </wp:inline>
              </w:drawing>
            </w:r>
            <w:r w:rsidDel="00000000" w:rsidR="00000000" w:rsidRPr="00000000">
              <w:rPr>
                <w:rtl w:val="0"/>
              </w:rPr>
            </w:r>
          </w:p>
        </w:tc>
      </w:tr>
      <w:tr>
        <w:tc>
          <w:tcPr>
            <w:vAlign w:val="top"/>
          </w:tcPr>
          <w:p w:rsidR="00000000" w:rsidDel="00000000" w:rsidP="00000000" w:rsidRDefault="00000000" w:rsidRPr="00000000" w14:paraId="0000004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200" w:before="80" w:line="240" w:lineRule="auto"/>
              <w:ind w:left="0" w:right="0" w:firstLine="0"/>
              <w:jc w:val="center"/>
              <w:rPr>
                <w:b w:val="0"/>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Magnetization as a function of applied field. Note how the caption is centered in the column. (figure caption)</w:t>
            </w:r>
          </w:p>
        </w:tc>
      </w:tr>
    </w:tbl>
    <w:p w:rsidR="00000000" w:rsidDel="00000000" w:rsidP="00000000" w:rsidRDefault="00000000" w:rsidRPr="00000000" w14:paraId="0000004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240" w:line="216" w:lineRule="auto"/>
        <w:ind w:left="0" w:right="0" w:firstLine="0"/>
        <w:jc w:val="center"/>
        <w:rPr>
          <w:shd w:fill="auto" w:val="clear"/>
        </w:rPr>
      </w:pPr>
      <w:r w:rsidDel="00000000" w:rsidR="00000000" w:rsidRPr="00000000">
        <w:rPr>
          <w:rFonts w:ascii="Times New Roman" w:cs="Times New Roman" w:eastAsia="Times New Roman" w:hAnsi="Times New Roman"/>
          <w:b w:val="0"/>
          <w:i w:val="0"/>
          <w:smallCaps w:val="1"/>
          <w:strike w:val="0"/>
          <w:color w:val="000000"/>
          <w:sz w:val="16"/>
          <w:szCs w:val="16"/>
          <w:u w:val="none"/>
          <w:shd w:fill="auto" w:val="clear"/>
          <w:vertAlign w:val="baseline"/>
          <w:rtl w:val="0"/>
        </w:rPr>
        <w:t xml:space="preserve">Table Type Styles</w:t>
      </w:r>
    </w:p>
    <w:tbl>
      <w:tblPr>
        <w:tblStyle w:val="Table2"/>
        <w:tblW w:w="45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9"/>
        <w:gridCol w:w="1843"/>
        <w:gridCol w:w="850"/>
        <w:gridCol w:w="1120"/>
        <w:tblGridChange w:id="0">
          <w:tblGrid>
            <w:gridCol w:w="709"/>
            <w:gridCol w:w="1843"/>
            <w:gridCol w:w="850"/>
            <w:gridCol w:w="1120"/>
          </w:tblGrid>
        </w:tblGridChange>
      </w:tblGrid>
      <w:tr>
        <w:trPr>
          <w:trHeight w:val="240" w:hRule="atLeast"/>
        </w:trPr>
        <w:tc>
          <w:tcPr>
            <w:vMerge w:val="restart"/>
            <w:vAlign w:val="cente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6"/>
                <w:szCs w:val="16"/>
                <w:u w:val="none"/>
                <w:shd w:fill="auto" w:val="clear"/>
                <w:vertAlign w:val="baseline"/>
                <w:rtl w:val="0"/>
              </w:rPr>
              <w:t xml:space="preserve">Type size (pts.)</w:t>
            </w:r>
          </w:p>
        </w:tc>
        <w:tc>
          <w:tcPr>
            <w:gridSpan w:val="3"/>
            <w:vAlign w:val="cente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6"/>
                <w:szCs w:val="16"/>
                <w:u w:val="none"/>
                <w:shd w:fill="auto" w:val="clear"/>
                <w:vertAlign w:val="baseline"/>
                <w:rtl w:val="0"/>
              </w:rPr>
              <w:t xml:space="preserve">Appearance (table col head)</w:t>
            </w:r>
          </w:p>
        </w:tc>
      </w:tr>
      <w:tr>
        <w:trPr>
          <w:trHeight w:val="240" w:hRule="atLeast"/>
        </w:trPr>
        <w:tc>
          <w:tcPr>
            <w:vMerge w:val="continue"/>
            <w:vAlign w:val="center"/>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15"/>
                <w:szCs w:val="15"/>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5"/>
                <w:szCs w:val="15"/>
                <w:u w:val="none"/>
                <w:shd w:fill="auto" w:val="clear"/>
                <w:vertAlign w:val="baseline"/>
                <w:rtl w:val="0"/>
              </w:rPr>
              <w:t xml:space="preserve">Regular</w:t>
            </w:r>
          </w:p>
        </w:tc>
        <w:tc>
          <w:tcPr>
            <w:vAlign w:val="cente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15"/>
                <w:szCs w:val="15"/>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5"/>
                <w:szCs w:val="15"/>
                <w:u w:val="none"/>
                <w:shd w:fill="auto" w:val="clear"/>
                <w:vertAlign w:val="baseline"/>
                <w:rtl w:val="0"/>
              </w:rPr>
              <w:t xml:space="preserve">Bold</w:t>
            </w:r>
          </w:p>
        </w:tc>
        <w:tc>
          <w:tcPr>
            <w:vAlign w:val="cente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15"/>
                <w:szCs w:val="15"/>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5"/>
                <w:szCs w:val="15"/>
                <w:u w:val="none"/>
                <w:shd w:fill="auto" w:val="clear"/>
                <w:vertAlign w:val="baseline"/>
                <w:rtl w:val="0"/>
              </w:rPr>
              <w:t xml:space="preserve">Italic</w:t>
            </w:r>
          </w:p>
        </w:tc>
      </w:tr>
      <w:tr>
        <w:trPr>
          <w:trHeight w:val="570" w:hRule="atLeast"/>
        </w:trPr>
        <w:tc>
          <w:tcP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8</w:t>
            </w:r>
          </w:p>
        </w:tc>
        <w:tc>
          <w:tcPr>
            <w:vAlign w:val="cente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References, table header, footnotes, text subscripts, and superscripts</w:t>
            </w:r>
          </w:p>
        </w:tc>
        <w:tc>
          <w:tcPr>
            <w:vAlign w:val="top"/>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r>
      <w:tr>
        <w:trPr>
          <w:trHeight w:val="188" w:hRule="atLeast"/>
        </w:trPr>
        <w:tc>
          <w:tcPr>
            <w:vAlign w:val="top"/>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9</w:t>
            </w:r>
          </w:p>
        </w:tc>
        <w:tc>
          <w:tcPr>
            <w:vAlign w:val="cente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Table captions and table names – uppercase. Table superscripts, figure captions</w:t>
            </w:r>
          </w:p>
        </w:tc>
        <w:tc>
          <w:tcPr>
            <w:vAlign w:val="cente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Abstract, keywords</w:t>
            </w:r>
          </w:p>
        </w:tc>
        <w:tc>
          <w:tcPr>
            <w:vAlign w:val="cente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Words “Abstract” and “Keywords”</w:t>
            </w:r>
          </w:p>
        </w:tc>
      </w:tr>
      <w:tr>
        <w:trPr>
          <w:trHeight w:val="300" w:hRule="atLeast"/>
        </w:trPr>
        <w:tc>
          <w:tcPr>
            <w:vAlign w:val="top"/>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10</w:t>
            </w:r>
          </w:p>
        </w:tc>
        <w:tc>
          <w:tcPr>
            <w:vAlign w:val="cente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Authors’ affiliations, main text, equations</w:t>
            </w:r>
          </w:p>
        </w:tc>
        <w:tc>
          <w:tcPr>
            <w:vAlign w:val="top"/>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Subheading</w:t>
            </w:r>
          </w:p>
        </w:tc>
      </w:tr>
      <w:tr>
        <w:trPr>
          <w:trHeight w:val="197" w:hRule="atLeast"/>
        </w:trPr>
        <w:tc>
          <w:tcP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11</w:t>
            </w:r>
          </w:p>
        </w:tc>
        <w:tc>
          <w:tcPr>
            <w:vAlign w:val="cente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Authors’ names</w:t>
            </w:r>
          </w:p>
        </w:tc>
        <w:tc>
          <w:tcPr>
            <w:vAlign w:val="cente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r>
      <w:tr>
        <w:trPr>
          <w:trHeight w:val="240" w:hRule="atLeast"/>
        </w:trPr>
        <w:tc>
          <w:tcPr>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20</w:t>
            </w:r>
          </w:p>
        </w:tc>
        <w:tc>
          <w:tcPr>
            <w:vAlign w:val="cente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Paper title</w:t>
            </w:r>
          </w:p>
        </w:tc>
        <w:tc>
          <w:tcPr>
            <w:vAlign w:val="cente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 with a ratio of quantities and units. For example, write “Temperature (K)”, not “Temperature/K”.</w:t>
      </w:r>
    </w:p>
    <w:p w:rsidR="00000000" w:rsidDel="00000000" w:rsidP="00000000" w:rsidRDefault="00000000" w:rsidRPr="00000000" w14:paraId="00000060">
      <w:pPr>
        <w:pStyle w:val="Heading2"/>
        <w:numPr>
          <w:ilvl w:val="1"/>
          <w:numId w:val="2"/>
        </w:numPr>
        <w:ind w:left="288" w:hanging="288"/>
        <w:rPr/>
      </w:pPr>
      <w:r w:rsidDel="00000000" w:rsidR="00000000" w:rsidRPr="00000000">
        <w:rPr>
          <w:i w:val="1"/>
          <w:vertAlign w:val="baseline"/>
          <w:rtl w:val="0"/>
        </w:rPr>
        <w:t xml:space="preserve">References</w:t>
      </w: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Number citations consecutively in square brackets [1]. The sentence punctuation follows the bracket [2]. Refer simply to the reference number, as in [3]. Do not use “Ref. [3]” or “reference [3]” except at the beginning of a sentence: “Reference [3] was the first ...”</w:t>
      </w:r>
      <w:r w:rsidDel="00000000" w:rsidR="00000000" w:rsidRPr="00000000">
        <w:rPr>
          <w:rFonts w:ascii="Times New Roman" w:cs="Times New Roman" w:eastAsia="Times New Roman" w:hAnsi="Times New Roman"/>
          <w:b w:val="0"/>
          <w:i w:val="0"/>
          <w:smallCaps w:val="0"/>
          <w:strike w:val="0"/>
          <w:color w:val="000000"/>
          <w:sz w:val="20"/>
          <w:szCs w:val="20"/>
          <w:highlight w:val="yellow"/>
          <w:u w:val="none"/>
          <w:vertAlign w:val="baseline"/>
          <w:rtl w:val="0"/>
        </w:rPr>
        <w:t xml:space="preserve"> </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Grammatically, they may be treated as if they were footnote numbers, e.g., as shown by Clerk Maxwell [2]; as mentioned earlier [2], [4]–[7]; Jacobs and Bean [5]; Yorozu et al. [7]</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Number footnotes separately in superscripts. Place the actual footnote at the bottom of the column in which it was cited. Do not put footnotes in the reference list. Use letters for table footnotes.</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Unless there are six authors or more give all authors' 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 papers published in translation journals, please give the English citation first, followed by the original foreign-language citation [6]. If paper was published in other than English, please translate it and provide original-language title in round brackets, like in [8].</w:t>
      </w:r>
    </w:p>
    <w:p w:rsidR="00000000" w:rsidDel="00000000" w:rsidP="00000000" w:rsidRDefault="00000000" w:rsidRPr="00000000" w14:paraId="00000066">
      <w:pPr>
        <w:pStyle w:val="Heading5"/>
        <w:tabs>
          <w:tab w:val="left" w:pos="360"/>
        </w:tabs>
        <w:rPr>
          <w:vertAlign w:val="baseline"/>
        </w:rPr>
      </w:pPr>
      <w:r w:rsidDel="00000000" w:rsidR="00000000" w:rsidRPr="00000000">
        <w:rPr>
          <w:smallCaps w:val="1"/>
          <w:vertAlign w:val="baseline"/>
          <w:rtl w:val="0"/>
        </w:rPr>
        <w:t xml:space="preserve">Acknowledgment (Heading 5)</w:t>
      </w: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References and Acknowledgment headings are not enumerated. They are simply primary headings without labels, regardless of whether the other headings in the papers are enumerated.</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placement of the Acknowledgment appears after the final text of the paper, just before the References section, and after any Appendix(es).</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acknowledgment of financial support must be removed from the Acknowledgment section, and placed in the first paragraph of the first footnote. </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Write the Acknowledgment section to be read in the third person.</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preferred spelling of the word “acknowledgment” in America is without an “e” after the “g.” Try to avoid the stilted expression, “One of us (R. B. G.) thanks …” Instead, try “R.B.G. thanks …” </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When citing names within the Acknowledgment, use first initials only, not full names. Do not use Mr., Mrs., Ms., or Miss (list first initial and last name only). Use the Dr. or Prof. title with each name separately; do not use plural Drs. or Profs. with lists of names.</w:t>
      </w:r>
    </w:p>
    <w:p w:rsidR="00000000" w:rsidDel="00000000" w:rsidP="00000000" w:rsidRDefault="00000000" w:rsidRPr="00000000" w14:paraId="0000006D">
      <w:pPr>
        <w:pStyle w:val="Heading5"/>
        <w:tabs>
          <w:tab w:val="left" w:pos="360"/>
        </w:tabs>
        <w:rPr>
          <w:vertAlign w:val="baseline"/>
        </w:rPr>
      </w:pPr>
      <w:r w:rsidDel="00000000" w:rsidR="00000000" w:rsidRPr="00000000">
        <w:rPr>
          <w:smallCaps w:val="1"/>
          <w:vertAlign w:val="baseline"/>
          <w:rtl w:val="0"/>
        </w:rPr>
        <w:t xml:space="preserve">References</w:t>
      </w:r>
      <w:r w:rsidDel="00000000" w:rsidR="00000000" w:rsidRPr="00000000">
        <w:rPr>
          <w:rtl w:val="0"/>
        </w:rPr>
      </w:r>
    </w:p>
    <w:p w:rsidR="00000000" w:rsidDel="00000000" w:rsidP="00000000" w:rsidRDefault="00000000" w:rsidRPr="00000000" w14:paraId="0000006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G. Eason, B. Noble, and I. N. Sneddon, “On certain integrals of Lipschitz-Hankel type involving products of Bessel functions,”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Phil. Trans. Roy. Soc. London, vol.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A247, pp. 529–551, April 1955. (references)</w:t>
      </w:r>
    </w:p>
    <w:p w:rsidR="00000000" w:rsidDel="00000000" w:rsidP="00000000" w:rsidRDefault="00000000" w:rsidRPr="00000000" w14:paraId="0000006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J. Clerk Maxwell,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A Treatise on Electricity and Magnetism</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3rd ed., vol. 2. Oxford: Clarendon, 1892, pp.68–73.</w:t>
      </w:r>
    </w:p>
    <w:p w:rsidR="00000000" w:rsidDel="00000000" w:rsidP="00000000" w:rsidRDefault="00000000" w:rsidRPr="00000000" w14:paraId="0000007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I. S. Jacobs and C. P. Bean, “Fine particles, thin films and exchange anisotropy,” in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Magnetism</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III, G. T. Rado and H. Suhl, Eds. New York: Academic, 1963, pp. 271–350.</w:t>
      </w:r>
    </w:p>
    <w:p w:rsidR="00000000" w:rsidDel="00000000" w:rsidP="00000000" w:rsidRDefault="00000000" w:rsidRPr="00000000" w14:paraId="0000007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K. Elissa, “Title of paper if known,” unpublished.</w:t>
      </w:r>
    </w:p>
    <w:p w:rsidR="00000000" w:rsidDel="00000000" w:rsidP="00000000" w:rsidRDefault="00000000" w:rsidRPr="00000000" w14:paraId="0000007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R. Nicole, “Title of paper with only first word capitalized,”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J. Name Stand. Abbrev.</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in press.</w:t>
      </w:r>
    </w:p>
    <w:p w:rsidR="00000000" w:rsidDel="00000000" w:rsidP="00000000" w:rsidRDefault="00000000" w:rsidRPr="00000000" w14:paraId="0000007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Y. Yorozu, M. Hirano, K. Oka, and Y. Tagawa, “Electron spectroscopy studies on magneto-optical media and plastic substrate interface,”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IEEE Transl. J. Magn. Japan</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2, pp. 740–741, August 1987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Digests 9th Annual Conf. Magnetics Japan</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p. 301, 1982].</w:t>
      </w:r>
    </w:p>
    <w:p w:rsidR="00000000" w:rsidDel="00000000" w:rsidP="00000000" w:rsidRDefault="00000000" w:rsidRPr="00000000" w14:paraId="0000007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M. Young,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The Technical Writer's Handbook</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Mill Valley, CA: University Science, 1989.</w:t>
      </w:r>
    </w:p>
    <w:p w:rsidR="00000000" w:rsidDel="00000000" w:rsidP="00000000" w:rsidRDefault="00000000" w:rsidRPr="00000000" w14:paraId="0000007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mallCaps w:val="0"/>
          <w:strike w:val="0"/>
          <w:color w:val="000000"/>
          <w:u w:val="none"/>
          <w:shd w:fill="auto" w:val="clear"/>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Annual Report of Research Institute of Intelligent Computer systems</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2009, 71 p. (in Ukrainian)</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57"/>
        <w:jc w:val="both"/>
        <w:rPr>
          <w:rFonts w:ascii="Times New Roman" w:cs="Times New Roman" w:eastAsia="Times New Roman" w:hAnsi="Times New Roman"/>
          <w:b w:val="0"/>
          <w:i w:val="0"/>
          <w:smallCaps w:val="0"/>
          <w:strike w:val="0"/>
          <w:color w:val="000000"/>
          <w:sz w:val="16"/>
          <w:szCs w:val="16"/>
          <w:u w:val="none"/>
          <w:shd w:fill="auto" w:val="clear"/>
          <w:vertAlign w:val="baseline"/>
        </w:rPr>
        <w:sectPr>
          <w:type w:val="continuous"/>
          <w:pgSz w:h="16834" w:w="11909"/>
          <w:pgMar w:bottom="2438" w:top="1077" w:left="1134" w:right="1134" w:header="964" w:footer="1247"/>
          <w:cols w:equalWidth="0" w:num="2">
            <w:col w:space="340" w:w="4650.5"/>
            <w:col w:space="0" w:w="4650.5"/>
          </w:cols>
          <w:titlePg w:val="1"/>
        </w:sectPr>
      </w:pPr>
      <w:r w:rsidDel="00000000" w:rsidR="00000000" w:rsidRPr="00000000">
        <w:rPr>
          <w:rtl w:val="0"/>
        </w:rPr>
      </w:r>
    </w:p>
    <w:p w:rsidR="00000000" w:rsidDel="00000000" w:rsidP="00000000" w:rsidRDefault="00000000" w:rsidRPr="00000000" w14:paraId="00000077">
      <w:pPr>
        <w:rPr>
          <w:vertAlign w:val="baseline"/>
        </w:rPr>
      </w:pPr>
      <w:r w:rsidDel="00000000" w:rsidR="00000000" w:rsidRPr="00000000">
        <w:rPr>
          <w:rtl w:val="0"/>
        </w:rPr>
      </w:r>
    </w:p>
    <w:sectPr>
      <w:type w:val="continuous"/>
      <w:pgSz w:h="16834" w:w="11909"/>
      <w:pgMar w:bottom="2438" w:top="1077" w:left="1134" w:right="1134" w:header="964" w:footer="1247"/>
      <w:cols w:equalWidth="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Noto Sans Symbols"/>
  <w:font w:name="Courier New"/>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8"/>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Identify applicable sponsor/s here. If no sponsors, delete this footnote. (sponsors)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keepNext w:val="1"/>
      <w:keepLines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2020 IEEE Smart Information Systems and Technologies (SIST)</w:t>
    </w:r>
  </w:p>
  <w:p w:rsidR="00000000" w:rsidDel="00000000" w:rsidP="00000000" w:rsidRDefault="00000000" w:rsidRPr="00000000" w14:paraId="0000007A">
    <w:pPr>
      <w:keepNext w:val="1"/>
      <w:keepLines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9-11 September, 2020, Nur-Sultan, Kazakhstan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center"/>
      <w:pPr>
        <w:ind w:left="0" w:firstLine="216"/>
      </w:pPr>
      <w:rPr>
        <w:rFonts w:ascii="Times New Roman" w:cs="Times New Roman" w:eastAsia="Times New Roman" w:hAnsi="Times New Roman"/>
        <w:smallCaps w:val="0"/>
        <w:strike w:val="0"/>
        <w:color w:val="000000"/>
        <w:sz w:val="20"/>
        <w:szCs w:val="20"/>
        <w:vertAlign w:val="baseline"/>
      </w:rPr>
    </w:lvl>
    <w:lvl w:ilvl="1">
      <w:start w:val="1"/>
      <w:numFmt w:val="upperLetter"/>
      <w:lvlText w:val="%2."/>
      <w:lvlJc w:val="left"/>
      <w:pPr>
        <w:ind w:left="288" w:hanging="288"/>
      </w:pPr>
      <w:rPr>
        <w:rFonts w:ascii="Times New Roman" w:cs="Times New Roman" w:eastAsia="Times New Roman" w:hAnsi="Times New Roman"/>
        <w:b w:val="0"/>
        <w:i w:val="1"/>
        <w:smallCaps w:val="0"/>
        <w:strike w:val="0"/>
        <w:color w:val="000000"/>
        <w:sz w:val="20"/>
        <w:szCs w:val="20"/>
        <w:vertAlign w:val="baseline"/>
      </w:rPr>
    </w:lvl>
    <w:lvl w:ilvl="2">
      <w:start w:val="1"/>
      <w:numFmt w:val="decimal"/>
      <w:lvlText w:val="%3)"/>
      <w:lvlJc w:val="left"/>
      <w:pPr>
        <w:ind w:left="0" w:firstLine="180"/>
      </w:pPr>
      <w:rPr>
        <w:rFonts w:ascii="Times New Roman" w:cs="Times New Roman" w:eastAsia="Times New Roman" w:hAnsi="Times New Roman"/>
        <w:b w:val="0"/>
        <w:i w:val="1"/>
        <w:smallCaps w:val="0"/>
        <w:strike w:val="0"/>
        <w:color w:val="000000"/>
        <w:sz w:val="20"/>
        <w:szCs w:val="20"/>
        <w:vertAlign w:val="baseline"/>
      </w:rPr>
    </w:lvl>
    <w:lvl w:ilvl="3">
      <w:start w:val="1"/>
      <w:numFmt w:val="lowerLetter"/>
      <w:lvlText w:val="%4)"/>
      <w:lvlJc w:val="left"/>
      <w:pPr>
        <w:ind w:left="0" w:firstLine="360"/>
      </w:pPr>
      <w:rPr>
        <w:rFonts w:ascii="Times New Roman" w:cs="Times New Roman" w:eastAsia="Times New Roman" w:hAnsi="Times New Roman"/>
        <w:b w:val="0"/>
        <w:i w:val="1"/>
        <w:sz w:val="20"/>
        <w:szCs w:val="20"/>
        <w:vertAlign w:val="baseline"/>
      </w:rPr>
    </w:lvl>
    <w:lvl w:ilvl="4">
      <w:start w:val="1"/>
      <w:numFmt w:val="decimal"/>
      <w:lvlText w:val=""/>
      <w:lvlJc w:val="left"/>
      <w:pPr>
        <w:ind w:left="2880" w:hanging="2880"/>
      </w:pPr>
      <w:rPr>
        <w:vertAlign w:val="baseline"/>
      </w:rPr>
    </w:lvl>
    <w:lvl w:ilvl="5">
      <w:start w:val="1"/>
      <w:numFmt w:val="lowerLetter"/>
      <w:lvlText w:val="(%6)"/>
      <w:lvlJc w:val="left"/>
      <w:pPr>
        <w:ind w:left="3600" w:hanging="3600"/>
      </w:pPr>
      <w:rPr>
        <w:vertAlign w:val="baseline"/>
      </w:rPr>
    </w:lvl>
    <w:lvl w:ilvl="6">
      <w:start w:val="1"/>
      <w:numFmt w:val="lowerRoman"/>
      <w:lvlText w:val="(%7)"/>
      <w:lvlJc w:val="left"/>
      <w:pPr>
        <w:ind w:left="4320" w:hanging="4320"/>
      </w:pPr>
      <w:rPr>
        <w:vertAlign w:val="baseline"/>
      </w:rPr>
    </w:lvl>
    <w:lvl w:ilvl="7">
      <w:start w:val="1"/>
      <w:numFmt w:val="lowerLetter"/>
      <w:lvlText w:val="(%8)"/>
      <w:lvlJc w:val="left"/>
      <w:pPr>
        <w:ind w:left="5040" w:hanging="5040"/>
      </w:pPr>
      <w:rPr>
        <w:vertAlign w:val="baseline"/>
      </w:rPr>
    </w:lvl>
    <w:lvl w:ilvl="8">
      <w:start w:val="1"/>
      <w:numFmt w:val="lowerRoman"/>
      <w:lvlText w:val="(%9)"/>
      <w:lvlJc w:val="left"/>
      <w:pPr>
        <w:ind w:left="5760" w:hanging="5760"/>
      </w:pPr>
      <w:rPr>
        <w:vertAlign w:val="baseline"/>
      </w:rPr>
    </w:lvl>
  </w:abstractNum>
  <w:abstractNum w:abstractNumId="2">
    <w:lvl w:ilvl="0">
      <w:start w:val="1"/>
      <w:numFmt w:val="upperRoman"/>
      <w:lvlText w:val="%1."/>
      <w:lvlJc w:val="center"/>
      <w:pPr>
        <w:ind w:left="0" w:firstLine="216"/>
      </w:pPr>
      <w:rPr>
        <w:rFonts w:ascii="Times New Roman" w:cs="Times New Roman" w:eastAsia="Times New Roman" w:hAnsi="Times New Roman"/>
        <w:smallCaps w:val="0"/>
        <w:strike w:val="0"/>
        <w:color w:val="000000"/>
        <w:sz w:val="20"/>
        <w:szCs w:val="20"/>
        <w:vertAlign w:val="baseline"/>
      </w:rPr>
    </w:lvl>
    <w:lvl w:ilvl="1">
      <w:start w:val="1"/>
      <w:numFmt w:val="upperLetter"/>
      <w:lvlText w:val="%2."/>
      <w:lvlJc w:val="left"/>
      <w:pPr>
        <w:ind w:left="288" w:hanging="288"/>
      </w:pPr>
      <w:rPr>
        <w:rFonts w:ascii="Times New Roman" w:cs="Times New Roman" w:eastAsia="Times New Roman" w:hAnsi="Times New Roman"/>
        <w:b w:val="0"/>
        <w:i w:val="1"/>
        <w:smallCaps w:val="0"/>
        <w:strike w:val="0"/>
        <w:color w:val="000000"/>
        <w:sz w:val="20"/>
        <w:szCs w:val="20"/>
        <w:vertAlign w:val="baseline"/>
      </w:rPr>
    </w:lvl>
    <w:lvl w:ilvl="2">
      <w:start w:val="1"/>
      <w:numFmt w:val="decimal"/>
      <w:lvlText w:val="%3)"/>
      <w:lvlJc w:val="left"/>
      <w:pPr>
        <w:ind w:left="0" w:firstLine="180"/>
      </w:pPr>
      <w:rPr>
        <w:rFonts w:ascii="Times New Roman" w:cs="Times New Roman" w:eastAsia="Times New Roman" w:hAnsi="Times New Roman"/>
        <w:b w:val="0"/>
        <w:i w:val="1"/>
        <w:smallCaps w:val="0"/>
        <w:strike w:val="0"/>
        <w:color w:val="000000"/>
        <w:sz w:val="20"/>
        <w:szCs w:val="20"/>
        <w:vertAlign w:val="baseline"/>
      </w:rPr>
    </w:lvl>
    <w:lvl w:ilvl="3">
      <w:start w:val="1"/>
      <w:numFmt w:val="lowerLetter"/>
      <w:lvlText w:val="%4)"/>
      <w:lvlJc w:val="left"/>
      <w:pPr>
        <w:ind w:left="0" w:firstLine="360"/>
      </w:pPr>
      <w:rPr>
        <w:rFonts w:ascii="Times New Roman" w:cs="Times New Roman" w:eastAsia="Times New Roman" w:hAnsi="Times New Roman"/>
        <w:b w:val="0"/>
        <w:i w:val="1"/>
        <w:sz w:val="20"/>
        <w:szCs w:val="20"/>
        <w:vertAlign w:val="baseline"/>
      </w:rPr>
    </w:lvl>
    <w:lvl w:ilvl="4">
      <w:start w:val="1"/>
      <w:numFmt w:val="decimal"/>
      <w:lvlText w:val=""/>
      <w:lvlJc w:val="left"/>
      <w:pPr>
        <w:ind w:left="2880" w:hanging="2880"/>
      </w:pPr>
      <w:rPr>
        <w:vertAlign w:val="baseline"/>
      </w:rPr>
    </w:lvl>
    <w:lvl w:ilvl="5">
      <w:start w:val="1"/>
      <w:numFmt w:val="lowerLetter"/>
      <w:lvlText w:val="(%6)"/>
      <w:lvlJc w:val="left"/>
      <w:pPr>
        <w:ind w:left="3600" w:hanging="3600"/>
      </w:pPr>
      <w:rPr>
        <w:vertAlign w:val="baseline"/>
      </w:rPr>
    </w:lvl>
    <w:lvl w:ilvl="6">
      <w:start w:val="1"/>
      <w:numFmt w:val="lowerRoman"/>
      <w:lvlText w:val="(%7)"/>
      <w:lvlJc w:val="left"/>
      <w:pPr>
        <w:ind w:left="4320" w:hanging="4320"/>
      </w:pPr>
      <w:rPr>
        <w:vertAlign w:val="baseline"/>
      </w:rPr>
    </w:lvl>
    <w:lvl w:ilvl="7">
      <w:start w:val="1"/>
      <w:numFmt w:val="lowerLetter"/>
      <w:lvlText w:val="(%8)"/>
      <w:lvlJc w:val="left"/>
      <w:pPr>
        <w:ind w:left="5040" w:hanging="5040"/>
      </w:pPr>
      <w:rPr>
        <w:vertAlign w:val="baseline"/>
      </w:rPr>
    </w:lvl>
    <w:lvl w:ilvl="8">
      <w:start w:val="1"/>
      <w:numFmt w:val="lowerRoman"/>
      <w:lvlText w:val="(%9)"/>
      <w:lvlJc w:val="left"/>
      <w:pPr>
        <w:ind w:left="5760" w:hanging="5760"/>
      </w:pPr>
      <w:rPr>
        <w:vertAlign w:val="baseline"/>
      </w:rPr>
    </w:lvl>
  </w:abstractNum>
  <w:abstractNum w:abstractNumId="3">
    <w:lvl w:ilvl="0">
      <w:start w:val="1"/>
      <w:numFmt w:val="decimal"/>
      <w:lvlText w:val="[%1]"/>
      <w:lvlJc w:val="left"/>
      <w:pPr>
        <w:ind w:left="360" w:hanging="360"/>
      </w:pPr>
      <w:rPr>
        <w:rFonts w:ascii="Times New Roman" w:cs="Times New Roman" w:eastAsia="Times New Roman" w:hAnsi="Times New Roman"/>
        <w:b w:val="0"/>
        <w:i w:val="0"/>
        <w:sz w:val="16"/>
        <w:szCs w:val="16"/>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upperRoman"/>
      <w:lvlText w:val="TABLE %1. "/>
      <w:lvlJc w:val="left"/>
      <w:pPr>
        <w:ind w:left="0" w:firstLine="0"/>
      </w:pPr>
      <w:rPr>
        <w:rFonts w:ascii="Times New Roman" w:cs="Times New Roman" w:eastAsia="Times New Roman" w:hAnsi="Times New Roman"/>
        <w:b w:val="0"/>
        <w:i w:val="0"/>
        <w:smallCaps w:val="0"/>
        <w:strike w:val="0"/>
        <w:color w:val="000000"/>
        <w:sz w:val="16"/>
        <w:szCs w:val="16"/>
        <w:u w:val="none"/>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648"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decimal"/>
      <w:lvlText w:val="Figure %1. "/>
      <w:lvlJc w:val="left"/>
      <w:pPr>
        <w:ind w:left="0" w:firstLine="0"/>
      </w:pPr>
      <w:rPr>
        <w:rFonts w:ascii="Times New Roman" w:cs="Times New Roman" w:eastAsia="Times New Roman" w:hAnsi="Times New Roman"/>
        <w:i w:val="0"/>
        <w:smallCaps w:val="0"/>
        <w:strike w:val="0"/>
        <w:color w:val="000000"/>
        <w:sz w:val="16"/>
        <w:szCs w:val="16"/>
        <w:u w:val="none"/>
        <w:vertAlign w:val="baseline"/>
      </w:rPr>
    </w:lvl>
    <w:lvl w:ilvl="1">
      <w:start w:val="1"/>
      <w:numFmt w:val="lowerLetter"/>
      <w:lvlText w:val="%2."/>
      <w:lvlJc w:val="left"/>
      <w:pPr>
        <w:ind w:left="1582" w:hanging="360"/>
      </w:pPr>
      <w:rPr>
        <w:vertAlign w:val="baseline"/>
      </w:rPr>
    </w:lvl>
    <w:lvl w:ilvl="2">
      <w:start w:val="1"/>
      <w:numFmt w:val="lowerRoman"/>
      <w:lvlText w:val="%3."/>
      <w:lvlJc w:val="right"/>
      <w:pPr>
        <w:ind w:left="2302" w:hanging="180"/>
      </w:pPr>
      <w:rPr>
        <w:vertAlign w:val="baseline"/>
      </w:rPr>
    </w:lvl>
    <w:lvl w:ilvl="3">
      <w:start w:val="1"/>
      <w:numFmt w:val="decimal"/>
      <w:lvlText w:val="%4."/>
      <w:lvlJc w:val="left"/>
      <w:pPr>
        <w:ind w:left="3022" w:hanging="360"/>
      </w:pPr>
      <w:rPr>
        <w:vertAlign w:val="baseline"/>
      </w:rPr>
    </w:lvl>
    <w:lvl w:ilvl="4">
      <w:start w:val="1"/>
      <w:numFmt w:val="lowerLetter"/>
      <w:lvlText w:val="%5."/>
      <w:lvlJc w:val="left"/>
      <w:pPr>
        <w:ind w:left="3742" w:hanging="360"/>
      </w:pPr>
      <w:rPr>
        <w:vertAlign w:val="baseline"/>
      </w:rPr>
    </w:lvl>
    <w:lvl w:ilvl="5">
      <w:start w:val="1"/>
      <w:numFmt w:val="lowerRoman"/>
      <w:lvlText w:val="%6."/>
      <w:lvlJc w:val="right"/>
      <w:pPr>
        <w:ind w:left="4462" w:hanging="180"/>
      </w:pPr>
      <w:rPr>
        <w:vertAlign w:val="baseline"/>
      </w:rPr>
    </w:lvl>
    <w:lvl w:ilvl="6">
      <w:start w:val="1"/>
      <w:numFmt w:val="decimal"/>
      <w:lvlText w:val="%7."/>
      <w:lvlJc w:val="left"/>
      <w:pPr>
        <w:ind w:left="5182" w:hanging="360"/>
      </w:pPr>
      <w:rPr>
        <w:vertAlign w:val="baseline"/>
      </w:rPr>
    </w:lvl>
    <w:lvl w:ilvl="7">
      <w:start w:val="1"/>
      <w:numFmt w:val="lowerLetter"/>
      <w:lvlText w:val="%8."/>
      <w:lvlJc w:val="left"/>
      <w:pPr>
        <w:ind w:left="5902" w:hanging="360"/>
      </w:pPr>
      <w:rPr>
        <w:vertAlign w:val="baseline"/>
      </w:rPr>
    </w:lvl>
    <w:lvl w:ilvl="8">
      <w:start w:val="1"/>
      <w:numFmt w:val="lowerRoman"/>
      <w:lvlText w:val="%9."/>
      <w:lvlJc w:val="right"/>
      <w:pPr>
        <w:ind w:left="6622"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jc w:val="center"/>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tabs>
        <w:tab w:val="left" w:pos="216"/>
      </w:tabs>
      <w:spacing w:after="80" w:before="160" w:lineRule="auto"/>
      <w:ind w:left="0" w:firstLine="216"/>
      <w:jc w:val="center"/>
    </w:pPr>
    <w:rPr>
      <w:smallCaps w:val="1"/>
      <w:vertAlign w:val="baseline"/>
    </w:rPr>
  </w:style>
  <w:style w:type="paragraph" w:styleId="Heading2">
    <w:name w:val="heading 2"/>
    <w:basedOn w:val="Normal"/>
    <w:next w:val="Normal"/>
    <w:pPr>
      <w:keepNext w:val="1"/>
      <w:keepLines w:val="1"/>
      <w:spacing w:after="60" w:before="120" w:lineRule="auto"/>
      <w:ind w:left="288" w:hanging="288"/>
      <w:jc w:val="left"/>
    </w:pPr>
    <w:rPr>
      <w:i w:val="1"/>
      <w:vertAlign w:val="baseline"/>
    </w:rPr>
  </w:style>
  <w:style w:type="paragraph" w:styleId="Heading3">
    <w:name w:val="heading 3"/>
    <w:basedOn w:val="Normal"/>
    <w:next w:val="Normal"/>
    <w:pPr>
      <w:ind w:left="0" w:firstLine="180"/>
      <w:jc w:val="both"/>
    </w:pPr>
    <w:rPr>
      <w:i w:val="1"/>
      <w:vertAlign w:val="baseline"/>
    </w:rPr>
  </w:style>
  <w:style w:type="paragraph" w:styleId="Heading4">
    <w:name w:val="heading 4"/>
    <w:basedOn w:val="Normal"/>
    <w:next w:val="Normal"/>
    <w:pPr>
      <w:spacing w:after="40" w:before="40" w:lineRule="auto"/>
      <w:ind w:left="0" w:firstLine="360"/>
      <w:jc w:val="both"/>
    </w:pPr>
    <w:rPr>
      <w:i w:val="1"/>
      <w:vertAlign w:val="baseline"/>
    </w:rPr>
  </w:style>
  <w:style w:type="paragraph" w:styleId="Heading5">
    <w:name w:val="heading 5"/>
    <w:basedOn w:val="Normal"/>
    <w:next w:val="Normal"/>
    <w:pPr>
      <w:tabs>
        <w:tab w:val="left" w:pos="360"/>
      </w:tabs>
      <w:spacing w:after="80" w:before="160" w:lineRule="auto"/>
      <w:jc w:val="center"/>
    </w:pPr>
    <w:rPr>
      <w:smallCaps w:val="1"/>
      <w:vertAlign w:val="baseline"/>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